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62B6" w14:textId="77777777" w:rsidR="00773320" w:rsidRPr="00773320" w:rsidRDefault="00773320" w:rsidP="00773320">
      <w:pPr>
        <w:rPr>
          <w:rFonts w:ascii="Calibri" w:eastAsia="Calibri" w:hAnsi="Calibri" w:cs="Arial"/>
          <w:b/>
          <w:bCs/>
          <w:sz w:val="28"/>
          <w:szCs w:val="28"/>
        </w:rPr>
      </w:pPr>
      <w:r w:rsidRPr="00773320">
        <w:rPr>
          <w:rFonts w:ascii="Calibri" w:eastAsia="Calibri" w:hAnsi="Calibri" w:cs="Arial"/>
          <w:b/>
          <w:bCs/>
          <w:sz w:val="28"/>
          <w:szCs w:val="28"/>
        </w:rPr>
        <w:t>Regelungen der Foundation (TRF) zur Ukraine-Hilfe</w:t>
      </w:r>
    </w:p>
    <w:p w14:paraId="3E1DC785" w14:textId="25481A05" w:rsidR="00773320" w:rsidRPr="00773320" w:rsidRDefault="00773320" w:rsidP="00773320">
      <w:pPr>
        <w:rPr>
          <w:rFonts w:ascii="Calibri" w:eastAsia="Calibri" w:hAnsi="Calibri" w:cs="Arial"/>
        </w:rPr>
      </w:pPr>
      <w:r w:rsidRPr="00773320">
        <w:rPr>
          <w:rFonts w:ascii="Calibri" w:eastAsia="Calibri" w:hAnsi="Calibri" w:cs="Arial"/>
        </w:rPr>
        <w:t xml:space="preserve">Zur Unterstützung von Hilfsaktionen im Rahmen der Hilfe für die Ukraine hat The Rotary Foundation (TRF) </w:t>
      </w:r>
      <w:r w:rsidR="00FB3AA1">
        <w:rPr>
          <w:rFonts w:ascii="Calibri" w:eastAsia="Calibri" w:hAnsi="Calibri" w:cs="Arial"/>
        </w:rPr>
        <w:t xml:space="preserve">den Ukraine Response Fund </w:t>
      </w:r>
      <w:r w:rsidRPr="00773320">
        <w:rPr>
          <w:rFonts w:ascii="Calibri" w:eastAsia="Calibri" w:hAnsi="Calibri" w:cs="Arial"/>
        </w:rPr>
        <w:t>ge</w:t>
      </w:r>
      <w:r w:rsidR="00FB3AA1">
        <w:rPr>
          <w:rFonts w:ascii="Calibri" w:eastAsia="Calibri" w:hAnsi="Calibri" w:cs="Arial"/>
        </w:rPr>
        <w:t>bildet</w:t>
      </w:r>
      <w:r w:rsidRPr="00773320">
        <w:rPr>
          <w:rFonts w:ascii="Calibri" w:eastAsia="Calibri" w:hAnsi="Calibri" w:cs="Arial"/>
        </w:rPr>
        <w:t>. Folgende Punkte werden im aktuellen Strategiepapier der TRF genannt:</w:t>
      </w:r>
    </w:p>
    <w:p w14:paraId="177C0645" w14:textId="0CFDE04C" w:rsidR="00773320" w:rsidRPr="00773320" w:rsidRDefault="00773320" w:rsidP="00773320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 w:rsidRPr="00773320">
        <w:rPr>
          <w:rFonts w:ascii="Calibri" w:eastAsia="Calibri" w:hAnsi="Calibri" w:cs="Arial"/>
        </w:rPr>
        <w:t xml:space="preserve">Bis zum </w:t>
      </w:r>
      <w:r w:rsidR="002221E4">
        <w:rPr>
          <w:rFonts w:ascii="Calibri" w:eastAsia="Calibri" w:hAnsi="Calibri" w:cs="Arial"/>
        </w:rPr>
        <w:t xml:space="preserve">30. Juni </w:t>
      </w:r>
      <w:r w:rsidR="00503673">
        <w:rPr>
          <w:rFonts w:ascii="Calibri" w:eastAsia="Calibri" w:hAnsi="Calibri" w:cs="Arial"/>
        </w:rPr>
        <w:t xml:space="preserve">2024 </w:t>
      </w:r>
      <w:bookmarkStart w:id="0" w:name="_GoBack"/>
      <w:bookmarkEnd w:id="0"/>
      <w:r w:rsidR="00FB3AA1">
        <w:rPr>
          <w:rFonts w:ascii="Calibri" w:eastAsia="Calibri" w:hAnsi="Calibri" w:cs="Arial"/>
        </w:rPr>
        <w:t>kann der R</w:t>
      </w:r>
      <w:r w:rsidRPr="00773320">
        <w:rPr>
          <w:rFonts w:ascii="Calibri" w:eastAsia="Calibri" w:hAnsi="Calibri" w:cs="Arial"/>
        </w:rPr>
        <w:t xml:space="preserve">otary Distrikt </w:t>
      </w:r>
      <w:r w:rsidRPr="00773320">
        <w:rPr>
          <w:rFonts w:ascii="Calibri" w:eastAsia="Calibri" w:hAnsi="Calibri" w:cs="Arial"/>
          <w:b/>
          <w:bCs/>
        </w:rPr>
        <w:t>in</w:t>
      </w:r>
      <w:r w:rsidRPr="00773320">
        <w:rPr>
          <w:rFonts w:ascii="Calibri" w:eastAsia="Calibri" w:hAnsi="Calibri" w:cs="Arial"/>
        </w:rPr>
        <w:t xml:space="preserve"> </w:t>
      </w:r>
      <w:r w:rsidRPr="00773320">
        <w:rPr>
          <w:rFonts w:ascii="Calibri" w:eastAsia="Calibri" w:hAnsi="Calibri" w:cs="Arial"/>
          <w:b/>
          <w:bCs/>
        </w:rPr>
        <w:t>der Ukraine</w:t>
      </w:r>
      <w:r w:rsidRPr="00773320">
        <w:rPr>
          <w:rFonts w:ascii="Calibri" w:eastAsia="Calibri" w:hAnsi="Calibri" w:cs="Arial"/>
        </w:rPr>
        <w:t xml:space="preserve"> </w:t>
      </w:r>
      <w:r w:rsidR="00FB3AA1">
        <w:rPr>
          <w:rFonts w:ascii="Calibri" w:eastAsia="Calibri" w:hAnsi="Calibri" w:cs="Arial"/>
        </w:rPr>
        <w:t xml:space="preserve">(Distrikt 2232) zeitgleich </w:t>
      </w:r>
      <w:r w:rsidR="00A73712">
        <w:rPr>
          <w:rFonts w:ascii="Calibri" w:eastAsia="Calibri" w:hAnsi="Calibri" w:cs="Arial"/>
        </w:rPr>
        <w:t xml:space="preserve">bis zu </w:t>
      </w:r>
      <w:r w:rsidR="00FB3AA1">
        <w:rPr>
          <w:rFonts w:ascii="Calibri" w:eastAsia="Calibri" w:hAnsi="Calibri" w:cs="Arial"/>
        </w:rPr>
        <w:t xml:space="preserve">drei Grants bis zu </w:t>
      </w:r>
      <w:r w:rsidR="00A73712">
        <w:rPr>
          <w:rFonts w:ascii="Calibri" w:eastAsia="Calibri" w:hAnsi="Calibri" w:cs="Arial"/>
        </w:rPr>
        <w:t xml:space="preserve">je </w:t>
      </w:r>
      <w:r w:rsidR="00FB3AA1">
        <w:rPr>
          <w:rFonts w:ascii="Calibri" w:eastAsia="Calibri" w:hAnsi="Calibri" w:cs="Arial"/>
        </w:rPr>
        <w:t xml:space="preserve">100.000 </w:t>
      </w:r>
      <w:r w:rsidR="00A73712">
        <w:rPr>
          <w:rFonts w:ascii="Calibri" w:eastAsia="Calibri" w:hAnsi="Calibri" w:cs="Arial"/>
        </w:rPr>
        <w:t xml:space="preserve">$ </w:t>
      </w:r>
      <w:r w:rsidR="00FB3AA1">
        <w:rPr>
          <w:rFonts w:ascii="Calibri" w:eastAsia="Calibri" w:hAnsi="Calibri" w:cs="Arial"/>
        </w:rPr>
        <w:t xml:space="preserve">beantragen. </w:t>
      </w:r>
      <w:r w:rsidRPr="00773320">
        <w:rPr>
          <w:rFonts w:ascii="Calibri" w:eastAsia="Calibri" w:hAnsi="Calibri" w:cs="Arial"/>
        </w:rPr>
        <w:t xml:space="preserve">Distrikte, die direkt </w:t>
      </w:r>
      <w:r w:rsidRPr="00773320">
        <w:rPr>
          <w:rFonts w:ascii="Calibri" w:eastAsia="Calibri" w:hAnsi="Calibri" w:cs="Arial"/>
          <w:b/>
          <w:bCs/>
        </w:rPr>
        <w:t>an die Ukraine angrenzen</w:t>
      </w:r>
      <w:r w:rsidRPr="00773320">
        <w:rPr>
          <w:rFonts w:ascii="Calibri" w:eastAsia="Calibri" w:hAnsi="Calibri" w:cs="Arial"/>
        </w:rPr>
        <w:t xml:space="preserve">, </w:t>
      </w:r>
      <w:r w:rsidR="00FB3AA1">
        <w:rPr>
          <w:rFonts w:ascii="Calibri" w:eastAsia="Calibri" w:hAnsi="Calibri" w:cs="Arial"/>
        </w:rPr>
        <w:t xml:space="preserve">können einen Grant </w:t>
      </w:r>
      <w:r w:rsidRPr="00773320">
        <w:rPr>
          <w:rFonts w:ascii="Calibri" w:eastAsia="Calibri" w:hAnsi="Calibri" w:cs="Arial"/>
        </w:rPr>
        <w:t xml:space="preserve">bis zu </w:t>
      </w:r>
      <w:r w:rsidR="00D008F2">
        <w:rPr>
          <w:rFonts w:ascii="Calibri" w:eastAsia="Calibri" w:hAnsi="Calibri" w:cs="Arial"/>
        </w:rPr>
        <w:t>100</w:t>
      </w:r>
      <w:r w:rsidRPr="00773320">
        <w:rPr>
          <w:rFonts w:ascii="Calibri" w:eastAsia="Calibri" w:hAnsi="Calibri" w:cs="Arial"/>
        </w:rPr>
        <w:t>.000 $ aus d</w:t>
      </w:r>
      <w:r w:rsidR="00FB3AA1">
        <w:rPr>
          <w:rFonts w:ascii="Calibri" w:eastAsia="Calibri" w:hAnsi="Calibri" w:cs="Arial"/>
        </w:rPr>
        <w:t>em</w:t>
      </w:r>
      <w:r w:rsidRPr="00773320">
        <w:rPr>
          <w:rFonts w:ascii="Calibri" w:eastAsia="Calibri" w:hAnsi="Calibri" w:cs="Arial"/>
        </w:rPr>
        <w:t xml:space="preserve"> </w:t>
      </w:r>
      <w:r w:rsidR="00FB3AA1">
        <w:rPr>
          <w:rFonts w:ascii="Calibri" w:eastAsia="Calibri" w:hAnsi="Calibri" w:cs="Arial"/>
        </w:rPr>
        <w:t xml:space="preserve">Ukraine </w:t>
      </w:r>
      <w:r w:rsidRPr="00773320">
        <w:rPr>
          <w:rFonts w:ascii="Calibri" w:eastAsia="Calibri" w:hAnsi="Calibri" w:cs="Arial"/>
        </w:rPr>
        <w:t>Respon</w:t>
      </w:r>
      <w:r w:rsidR="00392F18">
        <w:rPr>
          <w:rFonts w:ascii="Calibri" w:eastAsia="Calibri" w:hAnsi="Calibri" w:cs="Arial"/>
        </w:rPr>
        <w:t>se</w:t>
      </w:r>
      <w:r w:rsidRPr="00773320">
        <w:rPr>
          <w:rFonts w:ascii="Calibri" w:eastAsia="Calibri" w:hAnsi="Calibri" w:cs="Arial"/>
        </w:rPr>
        <w:t xml:space="preserve"> Fund beantragen. </w:t>
      </w:r>
      <w:r w:rsidR="00A73712">
        <w:rPr>
          <w:rFonts w:ascii="Calibri" w:eastAsia="Calibri" w:hAnsi="Calibri" w:cs="Arial"/>
        </w:rPr>
        <w:t xml:space="preserve">Nach Abschluss eines Grants kann ein neuer Antrag gestellt werden. </w:t>
      </w:r>
      <w:r w:rsidRPr="00773320">
        <w:rPr>
          <w:rFonts w:ascii="Calibri" w:eastAsia="Calibri" w:hAnsi="Calibri" w:cs="Arial"/>
        </w:rPr>
        <w:t>Explizit werden folgende angrenzende Distrikte benannt:</w:t>
      </w:r>
    </w:p>
    <w:p w14:paraId="0C094D73" w14:textId="77777777" w:rsidR="00773320" w:rsidRPr="00773320" w:rsidRDefault="00773320" w:rsidP="00773320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773320">
        <w:rPr>
          <w:rFonts w:ascii="Calibri" w:eastAsia="Calibri" w:hAnsi="Calibri" w:cs="Arial"/>
        </w:rPr>
        <w:t>Distrikt 1911 Ungarn</w:t>
      </w:r>
    </w:p>
    <w:p w14:paraId="5BECFA16" w14:textId="77777777" w:rsidR="00773320" w:rsidRPr="00773320" w:rsidRDefault="00773320" w:rsidP="00773320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773320">
        <w:rPr>
          <w:rFonts w:ascii="Calibri" w:eastAsia="Calibri" w:hAnsi="Calibri" w:cs="Arial"/>
        </w:rPr>
        <w:t>Distrikt 2231 Polen</w:t>
      </w:r>
    </w:p>
    <w:p w14:paraId="2D42F882" w14:textId="6C8293CE" w:rsidR="00773320" w:rsidRPr="00773320" w:rsidRDefault="00773320" w:rsidP="00773320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773320">
        <w:rPr>
          <w:rFonts w:ascii="Calibri" w:eastAsia="Calibri" w:hAnsi="Calibri" w:cs="Arial"/>
        </w:rPr>
        <w:t xml:space="preserve">Distrikt 2232 </w:t>
      </w:r>
      <w:r w:rsidR="00392F18">
        <w:rPr>
          <w:rFonts w:ascii="Calibri" w:eastAsia="Calibri" w:hAnsi="Calibri" w:cs="Arial"/>
        </w:rPr>
        <w:t xml:space="preserve">Ukraine und </w:t>
      </w:r>
      <w:r w:rsidRPr="00773320">
        <w:rPr>
          <w:rFonts w:ascii="Calibri" w:eastAsia="Calibri" w:hAnsi="Calibri" w:cs="Arial"/>
        </w:rPr>
        <w:t xml:space="preserve">Belarus </w:t>
      </w:r>
    </w:p>
    <w:p w14:paraId="7D4456E2" w14:textId="77777777" w:rsidR="00773320" w:rsidRPr="00773320" w:rsidRDefault="00773320" w:rsidP="00773320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773320">
        <w:rPr>
          <w:rFonts w:ascii="Calibri" w:eastAsia="Calibri" w:hAnsi="Calibri" w:cs="Arial"/>
        </w:rPr>
        <w:t>Distrikt 2240 Tschechien und Slowakei</w:t>
      </w:r>
    </w:p>
    <w:p w14:paraId="41C61D21" w14:textId="77777777" w:rsidR="00773320" w:rsidRPr="00773320" w:rsidRDefault="00773320" w:rsidP="00773320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773320">
        <w:rPr>
          <w:rFonts w:ascii="Calibri" w:eastAsia="Calibri" w:hAnsi="Calibri" w:cs="Arial"/>
        </w:rPr>
        <w:t>Distrikt 2241 Moldawien und Rumänien.</w:t>
      </w:r>
    </w:p>
    <w:p w14:paraId="68584CBC" w14:textId="759C5797" w:rsidR="00773320" w:rsidRPr="00773320" w:rsidRDefault="00773320" w:rsidP="00773320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 a</w:t>
      </w:r>
      <w:r w:rsidRPr="00773320">
        <w:rPr>
          <w:rFonts w:ascii="Calibri" w:eastAsia="Calibri" w:hAnsi="Calibri" w:cs="Arial"/>
        </w:rPr>
        <w:t>ndere</w:t>
      </w:r>
      <w:r w:rsidR="00594FF5">
        <w:rPr>
          <w:rFonts w:ascii="Calibri" w:eastAsia="Calibri" w:hAnsi="Calibri" w:cs="Arial"/>
        </w:rPr>
        <w:t>n</w:t>
      </w:r>
      <w:r w:rsidRPr="00773320">
        <w:rPr>
          <w:rFonts w:ascii="Calibri" w:eastAsia="Calibri" w:hAnsi="Calibri" w:cs="Arial"/>
        </w:rPr>
        <w:t xml:space="preserve"> Distrikte können ebenfalls bis zum </w:t>
      </w:r>
      <w:r w:rsidR="00503673">
        <w:rPr>
          <w:rFonts w:ascii="Calibri" w:eastAsia="Calibri" w:hAnsi="Calibri" w:cs="Arial"/>
        </w:rPr>
        <w:t>30.</w:t>
      </w:r>
      <w:r w:rsidR="002221E4">
        <w:rPr>
          <w:rFonts w:ascii="Calibri" w:eastAsia="Calibri" w:hAnsi="Calibri" w:cs="Arial"/>
        </w:rPr>
        <w:t xml:space="preserve"> Juni </w:t>
      </w:r>
      <w:r w:rsidR="00503673">
        <w:rPr>
          <w:rFonts w:ascii="Calibri" w:eastAsia="Calibri" w:hAnsi="Calibri" w:cs="Arial"/>
        </w:rPr>
        <w:t xml:space="preserve">2024 </w:t>
      </w:r>
      <w:r w:rsidR="00A73712">
        <w:rPr>
          <w:rFonts w:ascii="Calibri" w:eastAsia="Calibri" w:hAnsi="Calibri" w:cs="Arial"/>
        </w:rPr>
        <w:t xml:space="preserve">Grants von </w:t>
      </w:r>
      <w:r w:rsidRPr="00773320">
        <w:rPr>
          <w:rFonts w:ascii="Calibri" w:eastAsia="Calibri" w:hAnsi="Calibri" w:cs="Arial"/>
        </w:rPr>
        <w:t>bis zu 25.000 $ aus diesem Fund für Hilfsprojekte für Flüchtlinge und Kriegsopfe</w:t>
      </w:r>
      <w:r>
        <w:rPr>
          <w:rFonts w:ascii="Calibri" w:eastAsia="Calibri" w:hAnsi="Calibri" w:cs="Arial"/>
        </w:rPr>
        <w:t>r</w:t>
      </w:r>
      <w:r w:rsidRPr="00773320">
        <w:rPr>
          <w:rFonts w:ascii="Calibri" w:eastAsia="Calibri" w:hAnsi="Calibri" w:cs="Arial"/>
        </w:rPr>
        <w:t xml:space="preserve"> beantragen</w:t>
      </w:r>
      <w:r>
        <w:rPr>
          <w:rFonts w:ascii="Calibri" w:eastAsia="Calibri" w:hAnsi="Calibri" w:cs="Arial"/>
        </w:rPr>
        <w:t>.</w:t>
      </w:r>
      <w:r w:rsidR="00A73712">
        <w:rPr>
          <w:rFonts w:ascii="Calibri" w:eastAsia="Calibri" w:hAnsi="Calibri" w:cs="Arial"/>
        </w:rPr>
        <w:t xml:space="preserve"> Nach Abschluss eines Grants kann ein neuer Antrag gestellt werden.</w:t>
      </w:r>
    </w:p>
    <w:p w14:paraId="1E84A8A8" w14:textId="73D3521A" w:rsidR="00773320" w:rsidRPr="00773320" w:rsidRDefault="00D008F2" w:rsidP="00D008F2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Distrikte können ihre Zuschüsse kombinieren, um größere Waren- und Ausrüstungslieferungen in die </w:t>
      </w:r>
      <w:r w:rsidR="00B0112D">
        <w:rPr>
          <w:rFonts w:ascii="Calibri" w:eastAsia="Calibri" w:hAnsi="Calibri" w:cs="Arial"/>
        </w:rPr>
        <w:t xml:space="preserve">Ukraine und die Nachbarländer </w:t>
      </w:r>
      <w:r>
        <w:rPr>
          <w:rFonts w:ascii="Calibri" w:eastAsia="Calibri" w:hAnsi="Calibri" w:cs="Arial"/>
        </w:rPr>
        <w:t>zu finanzieren.</w:t>
      </w:r>
      <w:r w:rsidR="00773320">
        <w:rPr>
          <w:rFonts w:ascii="Calibri" w:eastAsia="Calibri" w:hAnsi="Calibri" w:cs="Arial"/>
        </w:rPr>
        <w:t xml:space="preserve"> </w:t>
      </w:r>
    </w:p>
    <w:p w14:paraId="6246FF22" w14:textId="77777777" w:rsidR="00773320" w:rsidRPr="00773320" w:rsidRDefault="00773320" w:rsidP="00773320">
      <w:pPr>
        <w:ind w:left="720"/>
        <w:contextualSpacing/>
        <w:rPr>
          <w:rFonts w:ascii="Calibri" w:eastAsia="Calibri" w:hAnsi="Calibri" w:cs="Arial"/>
        </w:rPr>
      </w:pPr>
    </w:p>
    <w:p w14:paraId="58B6ADD7" w14:textId="77777777" w:rsidR="00773320" w:rsidRPr="00773320" w:rsidRDefault="00773320" w:rsidP="00773320">
      <w:pPr>
        <w:rPr>
          <w:rFonts w:ascii="Calibri" w:eastAsia="Calibri" w:hAnsi="Calibri" w:cs="Arial"/>
        </w:rPr>
      </w:pPr>
      <w:r w:rsidRPr="00773320">
        <w:rPr>
          <w:rFonts w:ascii="Calibri" w:eastAsia="Calibri" w:hAnsi="Calibri" w:cs="Arial"/>
        </w:rPr>
        <w:t>Konkret können wir in Deutschland folgendes Vorgehen für Clubs und Distrikte empfehlen:</w:t>
      </w:r>
    </w:p>
    <w:p w14:paraId="4661F360" w14:textId="09D921C3" w:rsidR="00773320" w:rsidRPr="00773320" w:rsidRDefault="00773320" w:rsidP="00773320">
      <w:pPr>
        <w:numPr>
          <w:ilvl w:val="0"/>
          <w:numId w:val="2"/>
        </w:numPr>
        <w:contextualSpacing/>
        <w:rPr>
          <w:rFonts w:ascii="Calibri" w:eastAsia="Calibri" w:hAnsi="Calibri" w:cs="Arial"/>
        </w:rPr>
      </w:pPr>
      <w:r w:rsidRPr="00773320">
        <w:rPr>
          <w:rFonts w:ascii="Calibri" w:eastAsia="Calibri" w:hAnsi="Calibri" w:cs="Calibri"/>
        </w:rPr>
        <w:t>Mittel für Club-Projekte, die mit Distri</w:t>
      </w:r>
      <w:r w:rsidR="000541E8">
        <w:rPr>
          <w:rFonts w:ascii="Calibri" w:eastAsia="Calibri" w:hAnsi="Calibri" w:cs="Calibri"/>
        </w:rPr>
        <w:t>c</w:t>
      </w:r>
      <w:r w:rsidRPr="00773320">
        <w:rPr>
          <w:rFonts w:ascii="Calibri" w:eastAsia="Calibri" w:hAnsi="Calibri" w:cs="Calibri"/>
        </w:rPr>
        <w:t>t Grants finanziert und wegen der Corona-</w:t>
      </w:r>
      <w:r w:rsidR="00B0112D">
        <w:rPr>
          <w:rFonts w:ascii="Calibri" w:eastAsia="Calibri" w:hAnsi="Calibri" w:cs="Calibri"/>
        </w:rPr>
        <w:t>Pandemie</w:t>
      </w:r>
      <w:r w:rsidRPr="00773320">
        <w:rPr>
          <w:rFonts w:ascii="Calibri" w:eastAsia="Calibri" w:hAnsi="Calibri" w:cs="Calibri"/>
        </w:rPr>
        <w:t xml:space="preserve"> nicht umgesetzt werden konnten, können für lokale Hilfsprojekte vor Ort </w:t>
      </w:r>
      <w:r w:rsidR="00673C77">
        <w:rPr>
          <w:rFonts w:ascii="Calibri" w:eastAsia="Calibri" w:hAnsi="Calibri" w:cs="Calibri"/>
        </w:rPr>
        <w:t xml:space="preserve">in Deutschland </w:t>
      </w:r>
      <w:r w:rsidRPr="00773320">
        <w:rPr>
          <w:rFonts w:ascii="Calibri" w:eastAsia="Calibri" w:hAnsi="Calibri" w:cs="Calibri"/>
        </w:rPr>
        <w:t>umgewidmet werden.</w:t>
      </w:r>
    </w:p>
    <w:p w14:paraId="36C2806B" w14:textId="0F5FD602" w:rsidR="00773320" w:rsidRDefault="00773320" w:rsidP="00773320">
      <w:pPr>
        <w:numPr>
          <w:ilvl w:val="0"/>
          <w:numId w:val="2"/>
        </w:numPr>
        <w:spacing w:after="0"/>
        <w:contextualSpacing/>
        <w:rPr>
          <w:rFonts w:ascii="Calibri" w:eastAsia="Calibri" w:hAnsi="Calibri" w:cs="Arial"/>
        </w:rPr>
      </w:pPr>
      <w:r w:rsidRPr="00773320">
        <w:rPr>
          <w:rFonts w:ascii="Calibri" w:eastAsia="Calibri" w:hAnsi="Calibri" w:cs="Arial"/>
        </w:rPr>
        <w:t xml:space="preserve">Zusammen mit </w:t>
      </w:r>
      <w:r w:rsidR="000D313A">
        <w:rPr>
          <w:rFonts w:ascii="Calibri" w:eastAsia="Calibri" w:hAnsi="Calibri" w:cs="Arial"/>
        </w:rPr>
        <w:t>Partner-Clubs</w:t>
      </w:r>
      <w:r w:rsidRPr="00773320">
        <w:rPr>
          <w:rFonts w:ascii="Calibri" w:eastAsia="Calibri" w:hAnsi="Calibri" w:cs="Arial"/>
        </w:rPr>
        <w:t xml:space="preserve"> </w:t>
      </w:r>
      <w:r w:rsidR="000541E8">
        <w:rPr>
          <w:rFonts w:ascii="Calibri" w:eastAsia="Calibri" w:hAnsi="Calibri" w:cs="Arial"/>
        </w:rPr>
        <w:t xml:space="preserve">in der Ukraine und </w:t>
      </w:r>
      <w:r w:rsidRPr="00773320">
        <w:rPr>
          <w:rFonts w:ascii="Calibri" w:eastAsia="Calibri" w:hAnsi="Calibri" w:cs="Arial"/>
        </w:rPr>
        <w:t>in den zur Ukraine angrenzen</w:t>
      </w:r>
      <w:r w:rsidR="00C6404C">
        <w:rPr>
          <w:rFonts w:ascii="Calibri" w:eastAsia="Calibri" w:hAnsi="Calibri" w:cs="Arial"/>
        </w:rPr>
        <w:t>den</w:t>
      </w:r>
      <w:r w:rsidRPr="00773320">
        <w:rPr>
          <w:rFonts w:ascii="Calibri" w:eastAsia="Calibri" w:hAnsi="Calibri" w:cs="Arial"/>
        </w:rPr>
        <w:t xml:space="preserve"> Distrikten können Global Grants aufgelegt werden. </w:t>
      </w:r>
    </w:p>
    <w:p w14:paraId="5EC55AD7" w14:textId="69F0EA83" w:rsidR="000D313A" w:rsidRPr="000D313A" w:rsidRDefault="00773320" w:rsidP="0035217F">
      <w:pPr>
        <w:pStyle w:val="Listenabsatz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73320">
        <w:rPr>
          <w:rFonts w:ascii="Calibri" w:eastAsia="Calibri" w:hAnsi="Calibri" w:cs="Arial"/>
        </w:rPr>
        <w:t xml:space="preserve">Wir bitten alle Distrikte, die </w:t>
      </w:r>
      <w:r w:rsidR="00C6404C">
        <w:rPr>
          <w:rFonts w:ascii="Calibri" w:eastAsia="Calibri" w:hAnsi="Calibri" w:cs="Arial"/>
        </w:rPr>
        <w:t xml:space="preserve">Möglichkeit zu nutzen und </w:t>
      </w:r>
      <w:r w:rsidR="00594FF5">
        <w:rPr>
          <w:rFonts w:ascii="Calibri" w:eastAsia="Calibri" w:hAnsi="Calibri" w:cs="Arial"/>
        </w:rPr>
        <w:t>Anträge für den Ukraine</w:t>
      </w:r>
      <w:r w:rsidRPr="00773320">
        <w:rPr>
          <w:rFonts w:ascii="Calibri" w:eastAsia="Calibri" w:hAnsi="Calibri" w:cs="Arial"/>
        </w:rPr>
        <w:t xml:space="preserve"> Response Fund </w:t>
      </w:r>
      <w:r w:rsidR="00594FF5">
        <w:rPr>
          <w:rFonts w:ascii="Calibri" w:eastAsia="Calibri" w:hAnsi="Calibri" w:cs="Arial"/>
        </w:rPr>
        <w:t>bei der TRF einzureichen</w:t>
      </w:r>
      <w:r w:rsidRPr="00773320">
        <w:rPr>
          <w:rFonts w:ascii="Calibri" w:eastAsia="Calibri" w:hAnsi="Calibri" w:cs="Arial"/>
        </w:rPr>
        <w:t>, sofern sie dies noch nicht getan haben.</w:t>
      </w:r>
      <w:r w:rsidR="000D313A">
        <w:rPr>
          <w:rFonts w:ascii="Calibri" w:eastAsia="Calibri" w:hAnsi="Calibri" w:cs="Arial"/>
        </w:rPr>
        <w:t xml:space="preserve"> Die </w:t>
      </w:r>
      <w:r w:rsidR="00913F23">
        <w:rPr>
          <w:rFonts w:ascii="Calibri" w:eastAsia="Calibri" w:hAnsi="Calibri" w:cs="Arial"/>
        </w:rPr>
        <w:t xml:space="preserve">Unterlagen für die </w:t>
      </w:r>
      <w:r w:rsidR="000D313A">
        <w:rPr>
          <w:rFonts w:ascii="Calibri" w:eastAsia="Calibri" w:hAnsi="Calibri" w:cs="Arial"/>
        </w:rPr>
        <w:t xml:space="preserve">Beantragung </w:t>
      </w:r>
      <w:r w:rsidR="00913F23">
        <w:rPr>
          <w:rFonts w:ascii="Calibri" w:eastAsia="Calibri" w:hAnsi="Calibri" w:cs="Arial"/>
        </w:rPr>
        <w:t>stehen hier zur Verfügung:</w:t>
      </w:r>
    </w:p>
    <w:p w14:paraId="543ADF5E" w14:textId="77777777" w:rsidR="000D313A" w:rsidRDefault="008E5007" w:rsidP="000D313A">
      <w:pPr>
        <w:pStyle w:val="Listenabsatz"/>
        <w:spacing w:after="0" w:line="240" w:lineRule="auto"/>
      </w:pPr>
      <w:hyperlink r:id="rId5" w:history="1">
        <w:r w:rsidR="000D313A">
          <w:rPr>
            <w:rStyle w:val="Hyperlink"/>
          </w:rPr>
          <w:t>Rotary Disaster Response Grants | Mein Rotary</w:t>
        </w:r>
      </w:hyperlink>
    </w:p>
    <w:p w14:paraId="7197FD40" w14:textId="1F9924BF" w:rsidR="00773320" w:rsidRPr="00773320" w:rsidRDefault="00DE40A5" w:rsidP="000D313A">
      <w:pPr>
        <w:pStyle w:val="Listenabsatz"/>
        <w:spacing w:after="0" w:line="240" w:lineRule="auto"/>
        <w:rPr>
          <w:rFonts w:ascii="Calibri" w:eastAsia="Calibri" w:hAnsi="Calibri" w:cs="Calibri"/>
        </w:rPr>
      </w:pPr>
      <w:r w:rsidRPr="00673C77">
        <w:rPr>
          <w:rFonts w:ascii="Calibri" w:eastAsia="Calibri" w:hAnsi="Calibri" w:cs="Arial"/>
          <w:b/>
          <w:bCs/>
        </w:rPr>
        <w:t>E</w:t>
      </w:r>
      <w:r w:rsidR="00773320" w:rsidRPr="00673C77">
        <w:rPr>
          <w:rFonts w:ascii="Calibri" w:eastAsia="Calibri" w:hAnsi="Calibri" w:cs="Arial"/>
          <w:b/>
          <w:bCs/>
        </w:rPr>
        <w:t>in</w:t>
      </w:r>
      <w:r w:rsidR="00773320" w:rsidRPr="00673C77">
        <w:rPr>
          <w:rFonts w:ascii="Calibri" w:eastAsia="Calibri" w:hAnsi="Calibri" w:cs="Calibri"/>
          <w:b/>
          <w:bCs/>
        </w:rPr>
        <w:t xml:space="preserve"> Distrikt </w:t>
      </w:r>
      <w:r w:rsidRPr="00673C77">
        <w:rPr>
          <w:rFonts w:ascii="Calibri" w:eastAsia="Calibri" w:hAnsi="Calibri" w:cs="Calibri"/>
          <w:b/>
          <w:bCs/>
        </w:rPr>
        <w:t xml:space="preserve">kann </w:t>
      </w:r>
      <w:r w:rsidR="00773320" w:rsidRPr="00673C77">
        <w:rPr>
          <w:rFonts w:ascii="Calibri" w:eastAsia="Calibri" w:hAnsi="Calibri" w:cs="Calibri"/>
          <w:b/>
          <w:bCs/>
        </w:rPr>
        <w:t>mehrere Disaster Response Grants nacheinander beantragen</w:t>
      </w:r>
      <w:r w:rsidR="003932F5" w:rsidRPr="00673C77">
        <w:rPr>
          <w:rFonts w:ascii="Calibri" w:eastAsia="Calibri" w:hAnsi="Calibri" w:cs="Calibri"/>
          <w:b/>
          <w:bCs/>
        </w:rPr>
        <w:t>.</w:t>
      </w:r>
      <w:r w:rsidR="00773320" w:rsidRPr="00773320">
        <w:rPr>
          <w:rFonts w:ascii="Calibri" w:eastAsia="Calibri" w:hAnsi="Calibri" w:cs="Calibri"/>
        </w:rPr>
        <w:t xml:space="preserve"> Voraussetzung hierfür ist, dass der vorhergehende Disaster Response Grant berichtet und abgeschlossen ist. </w:t>
      </w:r>
    </w:p>
    <w:p w14:paraId="6EDB73DD" w14:textId="44B491B0" w:rsidR="00773320" w:rsidRDefault="00673C77" w:rsidP="00773320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773320" w:rsidRPr="00773320">
        <w:rPr>
          <w:rFonts w:ascii="Calibri" w:eastAsia="Calibri" w:hAnsi="Calibri" w:cs="Calibri"/>
        </w:rPr>
        <w:t xml:space="preserve">ie Mittel für die Katastrophenhilfe aus diesem Fonds </w:t>
      </w:r>
      <w:r w:rsidR="00FB3AA1">
        <w:rPr>
          <w:rFonts w:ascii="Calibri" w:eastAsia="Calibri" w:hAnsi="Calibri" w:cs="Calibri"/>
        </w:rPr>
        <w:t xml:space="preserve">können sowohl lokal und innerhalb ihres Distriktes, aber auch </w:t>
      </w:r>
      <w:r w:rsidR="00250EC4">
        <w:rPr>
          <w:rFonts w:ascii="Calibri" w:eastAsia="Calibri" w:hAnsi="Calibri" w:cs="Calibri"/>
        </w:rPr>
        <w:t xml:space="preserve">zugunsten von Ukraine-Hilfsprojekten </w:t>
      </w:r>
      <w:r w:rsidR="00773320" w:rsidRPr="00773320">
        <w:rPr>
          <w:rFonts w:ascii="Calibri" w:eastAsia="Calibri" w:hAnsi="Calibri" w:cs="Calibri"/>
        </w:rPr>
        <w:t>beantrag</w:t>
      </w:r>
      <w:r w:rsidR="00FB3AA1">
        <w:rPr>
          <w:rFonts w:ascii="Calibri" w:eastAsia="Calibri" w:hAnsi="Calibri" w:cs="Calibri"/>
        </w:rPr>
        <w:t>t werden</w:t>
      </w:r>
      <w:r w:rsidR="00773320" w:rsidRPr="00773320">
        <w:rPr>
          <w:rFonts w:ascii="Calibri" w:eastAsia="Calibri" w:hAnsi="Calibri" w:cs="Calibri"/>
        </w:rPr>
        <w:t xml:space="preserve">, </w:t>
      </w:r>
      <w:r w:rsidR="00250EC4">
        <w:rPr>
          <w:rFonts w:ascii="Calibri" w:eastAsia="Calibri" w:hAnsi="Calibri" w:cs="Calibri"/>
        </w:rPr>
        <w:t>die</w:t>
      </w:r>
      <w:r w:rsidR="00250EC4" w:rsidRPr="00773320">
        <w:rPr>
          <w:rFonts w:ascii="Calibri" w:eastAsia="Calibri" w:hAnsi="Calibri" w:cs="Calibri"/>
        </w:rPr>
        <w:t xml:space="preserve"> </w:t>
      </w:r>
      <w:r w:rsidR="00773320" w:rsidRPr="00773320">
        <w:rPr>
          <w:rFonts w:ascii="Calibri" w:eastAsia="Calibri" w:hAnsi="Calibri" w:cs="Calibri"/>
        </w:rPr>
        <w:t xml:space="preserve">in </w:t>
      </w:r>
      <w:r w:rsidR="00594FF5">
        <w:rPr>
          <w:rFonts w:ascii="Calibri" w:eastAsia="Calibri" w:hAnsi="Calibri" w:cs="Calibri"/>
        </w:rPr>
        <w:t xml:space="preserve">der Ukraine oder den angrenzenden </w:t>
      </w:r>
      <w:r w:rsidR="00CD0463">
        <w:rPr>
          <w:rFonts w:ascii="Calibri" w:eastAsia="Calibri" w:hAnsi="Calibri" w:cs="Calibri"/>
        </w:rPr>
        <w:t>Distrikten</w:t>
      </w:r>
      <w:r w:rsidR="00594FF5">
        <w:rPr>
          <w:rFonts w:ascii="Calibri" w:eastAsia="Calibri" w:hAnsi="Calibri" w:cs="Calibri"/>
        </w:rPr>
        <w:t xml:space="preserve"> (siehe oben) </w:t>
      </w:r>
      <w:r w:rsidR="00773320" w:rsidRPr="00773320">
        <w:rPr>
          <w:rFonts w:ascii="Calibri" w:eastAsia="Calibri" w:hAnsi="Calibri" w:cs="Calibri"/>
        </w:rPr>
        <w:t xml:space="preserve">umgesetzt </w:t>
      </w:r>
      <w:r w:rsidR="00250EC4">
        <w:rPr>
          <w:rFonts w:ascii="Calibri" w:eastAsia="Calibri" w:hAnsi="Calibri" w:cs="Calibri"/>
        </w:rPr>
        <w:t>werden</w:t>
      </w:r>
      <w:r w:rsidR="00773320" w:rsidRPr="00773320">
        <w:rPr>
          <w:rFonts w:ascii="Calibri" w:eastAsia="Calibri" w:hAnsi="Calibri" w:cs="Calibri"/>
        </w:rPr>
        <w:t>.</w:t>
      </w:r>
      <w:r w:rsidR="000D313A">
        <w:rPr>
          <w:rFonts w:ascii="Calibri" w:eastAsia="Calibri" w:hAnsi="Calibri" w:cs="Calibri"/>
        </w:rPr>
        <w:t xml:space="preserve"> Details zu den </w:t>
      </w:r>
      <w:r w:rsidR="000966CB">
        <w:rPr>
          <w:rFonts w:ascii="Calibri" w:eastAsia="Calibri" w:hAnsi="Calibri" w:cs="Calibri"/>
        </w:rPr>
        <w:t xml:space="preserve">hierzu erlassenen </w:t>
      </w:r>
      <w:r w:rsidR="000D313A">
        <w:rPr>
          <w:rFonts w:ascii="Calibri" w:eastAsia="Calibri" w:hAnsi="Calibri" w:cs="Calibri"/>
        </w:rPr>
        <w:t xml:space="preserve">Richtlinien entnehmen Sie </w:t>
      </w:r>
      <w:r w:rsidR="000966CB">
        <w:rPr>
          <w:rFonts w:ascii="Calibri" w:eastAsia="Calibri" w:hAnsi="Calibri" w:cs="Calibri"/>
        </w:rPr>
        <w:t xml:space="preserve">bitte </w:t>
      </w:r>
      <w:r w:rsidR="000D313A">
        <w:rPr>
          <w:rFonts w:ascii="Calibri" w:eastAsia="Calibri" w:hAnsi="Calibri" w:cs="Calibri"/>
        </w:rPr>
        <w:t>der Anlage.</w:t>
      </w:r>
    </w:p>
    <w:p w14:paraId="10A205A4" w14:textId="13D046E6" w:rsidR="00337524" w:rsidRDefault="00337524"/>
    <w:p w14:paraId="383CA95E" w14:textId="0A3A3D63" w:rsidR="00F60D2F" w:rsidRDefault="00F60D2F"/>
    <w:p w14:paraId="7751C851" w14:textId="177EC4F6" w:rsidR="00F60D2F" w:rsidRDefault="00F60D2F"/>
    <w:p w14:paraId="7556DCD1" w14:textId="20623AC2" w:rsidR="00F60D2F" w:rsidRDefault="00F60D2F"/>
    <w:sectPr w:rsidR="00F60D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EB"/>
    <w:multiLevelType w:val="hybridMultilevel"/>
    <w:tmpl w:val="F174B2E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6F05"/>
    <w:multiLevelType w:val="hybridMultilevel"/>
    <w:tmpl w:val="EABE0854"/>
    <w:lvl w:ilvl="0" w:tplc="FD7AE7B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538C5"/>
    <w:multiLevelType w:val="hybridMultilevel"/>
    <w:tmpl w:val="0CC2EE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C4A05"/>
    <w:multiLevelType w:val="hybridMultilevel"/>
    <w:tmpl w:val="F0FA4432"/>
    <w:lvl w:ilvl="0" w:tplc="0ABAC9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4C9D"/>
    <w:multiLevelType w:val="hybridMultilevel"/>
    <w:tmpl w:val="DD546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0407B"/>
    <w:multiLevelType w:val="hybridMultilevel"/>
    <w:tmpl w:val="E29AAD72"/>
    <w:lvl w:ilvl="0" w:tplc="FD7AE7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20"/>
    <w:rsid w:val="000541E8"/>
    <w:rsid w:val="000966CB"/>
    <w:rsid w:val="000D313A"/>
    <w:rsid w:val="002221E4"/>
    <w:rsid w:val="00250EC4"/>
    <w:rsid w:val="00337524"/>
    <w:rsid w:val="003651A3"/>
    <w:rsid w:val="00392F18"/>
    <w:rsid w:val="003932F5"/>
    <w:rsid w:val="003A3635"/>
    <w:rsid w:val="003C601E"/>
    <w:rsid w:val="003E6824"/>
    <w:rsid w:val="003F4094"/>
    <w:rsid w:val="00503673"/>
    <w:rsid w:val="00594FF5"/>
    <w:rsid w:val="00673C77"/>
    <w:rsid w:val="006E4DD5"/>
    <w:rsid w:val="006F7B6B"/>
    <w:rsid w:val="0070570D"/>
    <w:rsid w:val="007551A2"/>
    <w:rsid w:val="00773320"/>
    <w:rsid w:val="007B3B02"/>
    <w:rsid w:val="008D62A0"/>
    <w:rsid w:val="008E5007"/>
    <w:rsid w:val="00913F23"/>
    <w:rsid w:val="00992DFF"/>
    <w:rsid w:val="009D297F"/>
    <w:rsid w:val="00A73712"/>
    <w:rsid w:val="00B0112D"/>
    <w:rsid w:val="00C6404C"/>
    <w:rsid w:val="00CD0463"/>
    <w:rsid w:val="00D008F2"/>
    <w:rsid w:val="00DE40A5"/>
    <w:rsid w:val="00F60D2F"/>
    <w:rsid w:val="00FB3AA1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4F54"/>
  <w15:chartTrackingRefBased/>
  <w15:docId w15:val="{CDC01E81-DB59-48CF-A6FB-E675D9E6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332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7332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6404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0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0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0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0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0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04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55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rotary.org/de/take-action/apply-grants/rotary-disaster-response-gra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Renker</dc:creator>
  <cp:keywords/>
  <dc:description/>
  <cp:lastModifiedBy>Judith Orf</cp:lastModifiedBy>
  <cp:revision>3</cp:revision>
  <dcterms:created xsi:type="dcterms:W3CDTF">2023-02-10T20:15:00Z</dcterms:created>
  <dcterms:modified xsi:type="dcterms:W3CDTF">2023-02-10T20:19:00Z</dcterms:modified>
</cp:coreProperties>
</file>